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7D10" w:rsidRDefault="00237D10" w:rsidP="00237D10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  <w:lang w:eastAsia="zh-CN"/>
        </w:rPr>
        <w:t>82BIS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8B1A04">
        <w:rPr>
          <w:rFonts w:eastAsia="SimSun" w:cs="Arial"/>
          <w:b/>
          <w:bCs/>
          <w:sz w:val="24"/>
          <w:lang w:eastAsia="ja-JP"/>
        </w:rPr>
        <w:t>R4-</w:t>
      </w:r>
      <w:r w:rsidR="00600A91">
        <w:rPr>
          <w:rFonts w:eastAsia="PMingLiU" w:cs="Arial"/>
          <w:b/>
          <w:bCs/>
          <w:sz w:val="24"/>
          <w:lang w:eastAsia="zh-TW"/>
        </w:rPr>
        <w:t>170295</w:t>
      </w:r>
      <w:r w:rsidR="004C39A7">
        <w:rPr>
          <w:rFonts w:eastAsia="PMingLiU" w:cs="Arial"/>
          <w:b/>
          <w:bCs/>
          <w:sz w:val="24"/>
          <w:lang w:eastAsia="zh-TW"/>
        </w:rPr>
        <w:t>8</w:t>
      </w:r>
    </w:p>
    <w:p w:rsidR="00237D10" w:rsidRPr="00C701D9" w:rsidRDefault="00237D10" w:rsidP="00237D1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Spokane</w:t>
      </w:r>
      <w:r w:rsidRPr="00C701D9">
        <w:rPr>
          <w:rFonts w:ascii="Arial" w:hAnsi="Arial" w:cs="Arial" w:hint="eastAsia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U.S.A., 3 – 7 April</w:t>
      </w:r>
      <w:r w:rsidRPr="00C701D9">
        <w:rPr>
          <w:rFonts w:ascii="Arial" w:hAnsi="Arial" w:cs="Arial"/>
          <w:b/>
          <w:sz w:val="24"/>
          <w:szCs w:val="24"/>
        </w:rPr>
        <w:t>, 201</w:t>
      </w:r>
      <w:r>
        <w:rPr>
          <w:rFonts w:ascii="Arial" w:hAnsi="Arial" w:cs="Arial"/>
          <w:b/>
          <w:sz w:val="24"/>
          <w:szCs w:val="24"/>
        </w:rPr>
        <w:t>7</w:t>
      </w:r>
    </w:p>
    <w:p w:rsidR="00237D10" w:rsidRPr="00410C0E" w:rsidRDefault="00237D10" w:rsidP="00237D1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eastAsia="PMingLiU" w:hAnsi="Arial" w:cs="Arial"/>
          <w:b/>
          <w:noProof/>
          <w:sz w:val="24"/>
          <w:szCs w:val="20"/>
          <w:lang w:eastAsia="zh-TW"/>
        </w:rPr>
      </w:pPr>
    </w:p>
    <w:p w:rsidR="00237D10" w:rsidRPr="00410C0E" w:rsidRDefault="00237D10" w:rsidP="00237D10">
      <w:pPr>
        <w:tabs>
          <w:tab w:val="left" w:pos="1985"/>
        </w:tabs>
        <w:spacing w:before="240"/>
        <w:rPr>
          <w:rFonts w:ascii="Arial" w:hAnsi="Arial" w:cs="Arial"/>
          <w:b/>
          <w:bCs/>
          <w:sz w:val="24"/>
          <w:szCs w:val="24"/>
          <w:lang w:val="sv-SE"/>
        </w:rPr>
      </w:pPr>
      <w:r w:rsidRPr="00410C0E">
        <w:rPr>
          <w:rFonts w:ascii="Arial" w:hAnsi="Arial" w:cs="Arial"/>
          <w:b/>
          <w:sz w:val="24"/>
          <w:szCs w:val="24"/>
          <w:lang w:val="sv-SE"/>
        </w:rPr>
        <w:t>Agenda Item:</w:t>
      </w:r>
      <w:r w:rsidRPr="00410C0E">
        <w:rPr>
          <w:rFonts w:ascii="Arial" w:hAnsi="Arial" w:cs="Arial"/>
          <w:b/>
          <w:sz w:val="24"/>
          <w:szCs w:val="24"/>
          <w:lang w:val="sv-SE"/>
        </w:rPr>
        <w:tab/>
      </w:r>
      <w:r>
        <w:rPr>
          <w:rFonts w:ascii="Arial" w:hAnsi="Arial" w:cs="Arial"/>
          <w:b/>
          <w:bCs/>
          <w:sz w:val="24"/>
          <w:szCs w:val="24"/>
          <w:lang w:val="sv-SE"/>
        </w:rPr>
        <w:t>7.17.6</w:t>
      </w:r>
    </w:p>
    <w:p w:rsidR="00237D10" w:rsidRPr="00410C0E" w:rsidRDefault="00237D10" w:rsidP="00237D10">
      <w:pPr>
        <w:tabs>
          <w:tab w:val="left" w:pos="1985"/>
        </w:tabs>
        <w:ind w:left="1980" w:hanging="1980"/>
        <w:rPr>
          <w:rFonts w:ascii="Arial" w:hAnsi="Arial" w:cs="Arial"/>
          <w:b/>
          <w:bCs/>
          <w:sz w:val="24"/>
          <w:szCs w:val="24"/>
        </w:rPr>
      </w:pPr>
      <w:r w:rsidRPr="00410C0E">
        <w:rPr>
          <w:rFonts w:ascii="Arial" w:hAnsi="Arial" w:cs="Arial"/>
          <w:b/>
          <w:sz w:val="24"/>
          <w:szCs w:val="24"/>
        </w:rPr>
        <w:t xml:space="preserve">Source: </w:t>
      </w:r>
      <w:r w:rsidRPr="00410C0E">
        <w:rPr>
          <w:rFonts w:ascii="Arial" w:hAnsi="Arial" w:cs="Arial"/>
          <w:b/>
          <w:sz w:val="24"/>
          <w:szCs w:val="24"/>
        </w:rPr>
        <w:tab/>
      </w:r>
      <w:r w:rsidRPr="00410C0E">
        <w:rPr>
          <w:rFonts w:ascii="Arial" w:hAnsi="Arial" w:cs="Arial"/>
          <w:b/>
          <w:bCs/>
          <w:sz w:val="24"/>
          <w:szCs w:val="24"/>
        </w:rPr>
        <w:t>Intel Corporation</w:t>
      </w:r>
    </w:p>
    <w:p w:rsidR="00237D10" w:rsidRPr="00431FD5" w:rsidRDefault="00237D10" w:rsidP="00237D10">
      <w:pPr>
        <w:tabs>
          <w:tab w:val="left" w:pos="1985"/>
        </w:tabs>
        <w:ind w:left="1988" w:hanging="1980"/>
        <w:rPr>
          <w:rFonts w:ascii="Arial" w:hAnsi="Arial" w:cs="Arial"/>
          <w:b/>
          <w:sz w:val="24"/>
          <w:szCs w:val="24"/>
          <w:lang w:val="en-GB"/>
        </w:rPr>
      </w:pPr>
      <w:r w:rsidRPr="00410C0E">
        <w:rPr>
          <w:rFonts w:ascii="Arial" w:hAnsi="Arial" w:cs="Arial"/>
          <w:b/>
          <w:sz w:val="24"/>
          <w:szCs w:val="24"/>
        </w:rPr>
        <w:t xml:space="preserve">Title: </w:t>
      </w:r>
      <w:r w:rsidRPr="00410C0E">
        <w:rPr>
          <w:rFonts w:ascii="Arial" w:hAnsi="Arial" w:cs="Arial"/>
          <w:b/>
          <w:sz w:val="24"/>
          <w:szCs w:val="24"/>
        </w:rPr>
        <w:tab/>
      </w:r>
      <w:r w:rsidR="004C39A7" w:rsidRPr="004C39A7">
        <w:rPr>
          <w:rFonts w:ascii="Arial" w:hAnsi="Arial" w:cs="Arial"/>
          <w:b/>
          <w:sz w:val="24"/>
          <w:szCs w:val="24"/>
          <w:lang w:val="en-GB"/>
        </w:rPr>
        <w:t>Discussion on NPDCCH demodulation for eNB-IoT UE</w:t>
      </w:r>
    </w:p>
    <w:p w:rsidR="00237D10" w:rsidRPr="00410C0E" w:rsidRDefault="00237D10" w:rsidP="00237D10">
      <w:pPr>
        <w:tabs>
          <w:tab w:val="left" w:pos="1985"/>
        </w:tabs>
        <w:ind w:left="1988" w:hanging="1980"/>
        <w:rPr>
          <w:rFonts w:ascii="Arial" w:hAnsi="Arial" w:cs="Arial"/>
          <w:b/>
          <w:sz w:val="24"/>
          <w:szCs w:val="24"/>
        </w:rPr>
      </w:pPr>
      <w:r w:rsidRPr="00410C0E">
        <w:rPr>
          <w:rFonts w:ascii="Arial" w:hAnsi="Arial" w:cs="Arial"/>
          <w:b/>
          <w:sz w:val="24"/>
          <w:szCs w:val="24"/>
        </w:rPr>
        <w:t>Document for:</w:t>
      </w:r>
      <w:r w:rsidRPr="00410C0E">
        <w:rPr>
          <w:rFonts w:ascii="Arial" w:hAnsi="Arial" w:cs="Arial"/>
          <w:b/>
          <w:sz w:val="24"/>
          <w:szCs w:val="24"/>
        </w:rPr>
        <w:tab/>
        <w:t>Discussion</w:t>
      </w:r>
    </w:p>
    <w:p w:rsidR="00237D10" w:rsidRPr="008B1A04" w:rsidRDefault="00237D10" w:rsidP="00237D10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hAnsi="Arial"/>
          <w:sz w:val="32"/>
          <w:szCs w:val="32"/>
          <w:lang w:val="en-GB" w:eastAsia="en-US"/>
        </w:rPr>
      </w:pPr>
      <w:r w:rsidRPr="008B1A04">
        <w:rPr>
          <w:rFonts w:ascii="Arial" w:hAnsi="Arial"/>
          <w:sz w:val="32"/>
          <w:szCs w:val="32"/>
          <w:lang w:val="en-GB" w:eastAsia="en-US"/>
        </w:rPr>
        <w:t>Introduction</w:t>
      </w:r>
    </w:p>
    <w:p w:rsidR="00237D10" w:rsidRPr="008B1A04" w:rsidRDefault="00237D10" w:rsidP="00237D10">
      <w:pPr>
        <w:widowControl w:val="0"/>
        <w:spacing w:after="0" w:line="240" w:lineRule="auto"/>
        <w:jc w:val="both"/>
        <w:rPr>
          <w:rFonts w:eastAsia="PMingLiU"/>
          <w:kern w:val="2"/>
          <w:sz w:val="24"/>
          <w:lang w:val="en-GB" w:eastAsia="en-US"/>
        </w:rPr>
      </w:pPr>
    </w:p>
    <w:p w:rsidR="004C39A7" w:rsidRDefault="004C39A7" w:rsidP="00147965">
      <w:pPr>
        <w:jc w:val="both"/>
        <w:rPr>
          <w:rFonts w:ascii="Times New Roman" w:hAnsi="Times New Roman"/>
          <w:kern w:val="2"/>
          <w:sz w:val="24"/>
          <w:lang w:val="en-GB"/>
        </w:rPr>
      </w:pPr>
      <w:r>
        <w:rPr>
          <w:rFonts w:ascii="Times New Roman" w:hAnsi="Times New Roman"/>
          <w:kern w:val="2"/>
          <w:sz w:val="24"/>
          <w:lang w:val="en-GB"/>
        </w:rPr>
        <w:t>I</w:t>
      </w:r>
      <w:r>
        <w:rPr>
          <w:rFonts w:ascii="Times New Roman" w:hAnsi="Times New Roman"/>
          <w:kern w:val="2"/>
          <w:sz w:val="24"/>
          <w:lang w:val="en-GB"/>
        </w:rPr>
        <w:t>t is</w:t>
      </w:r>
      <w:r>
        <w:rPr>
          <w:rFonts w:ascii="Times New Roman" w:hAnsi="Times New Roman"/>
          <w:kern w:val="2"/>
          <w:sz w:val="24"/>
          <w:lang w:val="en-GB"/>
        </w:rPr>
        <w:t xml:space="preserve"> claimed in a RAN1-to-RAN4 LS [1</w:t>
      </w:r>
      <w:r>
        <w:rPr>
          <w:rFonts w:ascii="Times New Roman" w:hAnsi="Times New Roman"/>
          <w:kern w:val="2"/>
          <w:sz w:val="24"/>
          <w:lang w:val="en-GB"/>
        </w:rPr>
        <w:t>] that the “cross-subframe channel</w:t>
      </w:r>
      <w:r w:rsidRPr="00E849F1">
        <w:rPr>
          <w:rFonts w:ascii="Times New Roman" w:hAnsi="Times New Roman"/>
          <w:kern w:val="2"/>
          <w:sz w:val="24"/>
          <w:lang w:val="en-GB"/>
        </w:rPr>
        <w:t xml:space="preserve"> </w:t>
      </w:r>
      <w:r>
        <w:rPr>
          <w:rFonts w:ascii="Times New Roman" w:hAnsi="Times New Roman"/>
          <w:kern w:val="2"/>
          <w:sz w:val="24"/>
          <w:lang w:val="en-GB"/>
        </w:rPr>
        <w:t xml:space="preserve">estimation” has been an established assumption for UE demodulation performance enhancement, in </w:t>
      </w:r>
      <w:r>
        <w:rPr>
          <w:rFonts w:ascii="Times New Roman" w:hAnsi="Times New Roman"/>
          <w:kern w:val="2"/>
          <w:sz w:val="24"/>
          <w:lang w:val="en-GB"/>
        </w:rPr>
        <w:t>particular, related to SI (including</w:t>
      </w:r>
      <w:r>
        <w:rPr>
          <w:rFonts w:ascii="Times New Roman" w:hAnsi="Times New Roman"/>
          <w:kern w:val="2"/>
          <w:sz w:val="24"/>
          <w:lang w:val="en-GB"/>
        </w:rPr>
        <w:t xml:space="preserve"> MIB-NB and SIB1-NB) acquisition </w:t>
      </w:r>
      <w:r>
        <w:rPr>
          <w:rFonts w:ascii="Times New Roman" w:hAnsi="Times New Roman"/>
          <w:kern w:val="2"/>
          <w:sz w:val="24"/>
          <w:lang w:val="en-GB"/>
        </w:rPr>
        <w:t xml:space="preserve">delay </w:t>
      </w:r>
      <w:r>
        <w:rPr>
          <w:rFonts w:ascii="Times New Roman" w:hAnsi="Times New Roman"/>
          <w:kern w:val="2"/>
          <w:sz w:val="24"/>
          <w:lang w:val="en-GB"/>
        </w:rPr>
        <w:t>issues.</w:t>
      </w:r>
      <w:r w:rsidRPr="00E849F1">
        <w:rPr>
          <w:rFonts w:ascii="Times New Roman" w:hAnsi="Times New Roman"/>
          <w:kern w:val="2"/>
          <w:sz w:val="24"/>
          <w:lang w:val="en-GB"/>
        </w:rPr>
        <w:t xml:space="preserve"> </w:t>
      </w:r>
      <w:r>
        <w:rPr>
          <w:rFonts w:ascii="Times New Roman" w:hAnsi="Times New Roman"/>
          <w:kern w:val="2"/>
          <w:sz w:val="24"/>
          <w:lang w:val="en-GB"/>
        </w:rPr>
        <w:t xml:space="preserve">Clearly, this assumption is different from RAN4’s “baseline” receiver algorithm </w:t>
      </w:r>
      <w:r>
        <w:rPr>
          <w:rFonts w:ascii="Times New Roman" w:hAnsi="Times New Roman"/>
          <w:kern w:val="2"/>
          <w:sz w:val="24"/>
          <w:lang w:val="en-GB"/>
        </w:rPr>
        <w:t xml:space="preserve">assumption </w:t>
      </w:r>
      <w:r>
        <w:rPr>
          <w:rFonts w:ascii="Times New Roman" w:hAnsi="Times New Roman"/>
          <w:kern w:val="2"/>
          <w:sz w:val="24"/>
          <w:lang w:val="en-GB"/>
        </w:rPr>
        <w:t xml:space="preserve">that UE </w:t>
      </w:r>
      <w:r>
        <w:rPr>
          <w:rFonts w:ascii="Times New Roman" w:hAnsi="Times New Roman"/>
          <w:kern w:val="2"/>
          <w:sz w:val="24"/>
          <w:lang w:val="en-GB"/>
        </w:rPr>
        <w:t xml:space="preserve">only </w:t>
      </w:r>
      <w:r>
        <w:rPr>
          <w:rFonts w:ascii="Times New Roman" w:hAnsi="Times New Roman"/>
          <w:kern w:val="2"/>
          <w:sz w:val="24"/>
          <w:lang w:val="en-GB"/>
        </w:rPr>
        <w:t>performs “per-subframe channel estimation”.</w:t>
      </w:r>
      <w:r>
        <w:rPr>
          <w:rFonts w:ascii="Times New Roman" w:hAnsi="Times New Roman"/>
          <w:kern w:val="2"/>
          <w:sz w:val="24"/>
          <w:lang w:val="en-GB"/>
        </w:rPr>
        <w:t xml:space="preserve"> In [2] and [3], it shows that “</w:t>
      </w:r>
      <w:r>
        <w:rPr>
          <w:rFonts w:ascii="Times New Roman" w:hAnsi="Times New Roman"/>
          <w:kern w:val="2"/>
          <w:sz w:val="24"/>
          <w:lang w:val="en-GB"/>
        </w:rPr>
        <w:t>cross-subframe channel</w:t>
      </w:r>
      <w:r w:rsidRPr="00E849F1">
        <w:rPr>
          <w:rFonts w:ascii="Times New Roman" w:hAnsi="Times New Roman"/>
          <w:kern w:val="2"/>
          <w:sz w:val="24"/>
          <w:lang w:val="en-GB"/>
        </w:rPr>
        <w:t xml:space="preserve"> </w:t>
      </w:r>
      <w:r>
        <w:rPr>
          <w:rFonts w:ascii="Times New Roman" w:hAnsi="Times New Roman"/>
          <w:kern w:val="2"/>
          <w:sz w:val="24"/>
          <w:lang w:val="en-GB"/>
        </w:rPr>
        <w:t>estimation</w:t>
      </w:r>
      <w:r>
        <w:rPr>
          <w:rFonts w:ascii="Times New Roman" w:hAnsi="Times New Roman"/>
          <w:kern w:val="2"/>
          <w:sz w:val="24"/>
          <w:lang w:val="en-GB"/>
        </w:rPr>
        <w:t>” does provide noticeable performance improvement for MIB-NB (carried by NPBCH) and SIB1-NB (carried by NPDSCH).</w:t>
      </w:r>
    </w:p>
    <w:p w:rsidR="00237D10" w:rsidRPr="002006D0" w:rsidRDefault="00147965" w:rsidP="004C39A7">
      <w:pPr>
        <w:jc w:val="both"/>
        <w:rPr>
          <w:rFonts w:ascii="Times New Roman" w:eastAsia="PMingLiU" w:hAnsi="Times New Roman"/>
          <w:kern w:val="2"/>
          <w:sz w:val="24"/>
          <w:lang w:eastAsia="en-US"/>
        </w:rPr>
      </w:pPr>
      <w:r w:rsidRPr="00147965">
        <w:rPr>
          <w:rFonts w:ascii="Times New Roman" w:hAnsi="Times New Roman"/>
          <w:kern w:val="2"/>
          <w:sz w:val="24"/>
          <w:lang w:val="en-GB"/>
        </w:rPr>
        <w:t>In this con</w:t>
      </w:r>
      <w:r w:rsidR="004C39A7">
        <w:rPr>
          <w:rFonts w:ascii="Times New Roman" w:hAnsi="Times New Roman"/>
          <w:kern w:val="2"/>
          <w:sz w:val="24"/>
          <w:lang w:val="en-GB"/>
        </w:rPr>
        <w:t xml:space="preserve">tribution we provide our views of the </w:t>
      </w:r>
      <w:r w:rsidR="004C39A7">
        <w:rPr>
          <w:rFonts w:ascii="Times New Roman" w:hAnsi="Times New Roman"/>
          <w:kern w:val="2"/>
          <w:sz w:val="24"/>
          <w:lang w:val="en-GB"/>
        </w:rPr>
        <w:t>“cross-subframe channel</w:t>
      </w:r>
      <w:r w:rsidR="004C39A7" w:rsidRPr="00E849F1">
        <w:rPr>
          <w:rFonts w:ascii="Times New Roman" w:hAnsi="Times New Roman"/>
          <w:kern w:val="2"/>
          <w:sz w:val="24"/>
          <w:lang w:val="en-GB"/>
        </w:rPr>
        <w:t xml:space="preserve"> </w:t>
      </w:r>
      <w:r w:rsidR="004C39A7">
        <w:rPr>
          <w:rFonts w:ascii="Times New Roman" w:hAnsi="Times New Roman"/>
          <w:kern w:val="2"/>
          <w:sz w:val="24"/>
          <w:lang w:val="en-GB"/>
        </w:rPr>
        <w:t>estimation”</w:t>
      </w:r>
      <w:r w:rsidR="004C39A7">
        <w:rPr>
          <w:rFonts w:ascii="Times New Roman" w:hAnsi="Times New Roman"/>
          <w:kern w:val="2"/>
          <w:sz w:val="24"/>
          <w:lang w:val="en-GB"/>
        </w:rPr>
        <w:t xml:space="preserve"> impact on NPDCCH for eNB-IoT UE.</w:t>
      </w:r>
    </w:p>
    <w:p w:rsidR="00237D10" w:rsidRDefault="004C39A7" w:rsidP="00237D10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/>
          <w:sz w:val="32"/>
          <w:szCs w:val="32"/>
          <w:lang w:val="en-GB" w:eastAsia="zh-TW"/>
        </w:rPr>
      </w:pPr>
      <w:bookmarkStart w:id="0" w:name="OLE_LINK15"/>
      <w:bookmarkStart w:id="1" w:name="OLE_LINK16"/>
      <w:bookmarkStart w:id="2" w:name="OLE_LINK21"/>
      <w:bookmarkStart w:id="3" w:name="OLE_LINK22"/>
      <w:bookmarkStart w:id="4" w:name="OLE_LINK23"/>
      <w:bookmarkStart w:id="5" w:name="OLE_LINK11"/>
      <w:bookmarkStart w:id="6" w:name="OLE_LINK12"/>
      <w:r>
        <w:rPr>
          <w:rFonts w:ascii="Arial" w:eastAsia="PMingLiU" w:hAnsi="Arial"/>
          <w:sz w:val="32"/>
          <w:szCs w:val="32"/>
          <w:lang w:val="en-GB" w:eastAsia="zh-TW"/>
        </w:rPr>
        <w:t>Discussions</w:t>
      </w:r>
    </w:p>
    <w:bookmarkEnd w:id="0"/>
    <w:bookmarkEnd w:id="1"/>
    <w:bookmarkEnd w:id="2"/>
    <w:bookmarkEnd w:id="3"/>
    <w:bookmarkEnd w:id="4"/>
    <w:bookmarkEnd w:id="5"/>
    <w:bookmarkEnd w:id="6"/>
    <w:p w:rsidR="00237D10" w:rsidRDefault="00237D10" w:rsidP="00237D10">
      <w:pPr>
        <w:widowControl w:val="0"/>
        <w:spacing w:after="0" w:line="240" w:lineRule="auto"/>
        <w:jc w:val="both"/>
        <w:rPr>
          <w:rFonts w:ascii="Times New Roman" w:hAnsi="Times New Roman"/>
          <w:kern w:val="2"/>
          <w:sz w:val="24"/>
          <w:lang w:val="en-GB"/>
        </w:rPr>
      </w:pPr>
    </w:p>
    <w:p w:rsidR="004F315B" w:rsidRDefault="004C39A7" w:rsidP="004F315B">
      <w:pPr>
        <w:jc w:val="both"/>
        <w:rPr>
          <w:rFonts w:ascii="Times New Roman" w:hAnsi="Times New Roman"/>
          <w:kern w:val="2"/>
          <w:sz w:val="24"/>
          <w:lang w:val="en-GB"/>
        </w:rPr>
      </w:pPr>
      <w:r>
        <w:rPr>
          <w:rFonts w:ascii="Times New Roman" w:hAnsi="Times New Roman"/>
          <w:kern w:val="2"/>
          <w:sz w:val="24"/>
          <w:lang w:val="en-GB"/>
        </w:rPr>
        <w:t xml:space="preserve">In RAN4, the “baseline” receiver algorithm of Rel.13 NB-IoT UE assumes “per-subframe channel estimation”, that is the channel estimation operation only performed </w:t>
      </w:r>
      <w:r w:rsidR="004F315B">
        <w:rPr>
          <w:rFonts w:ascii="Times New Roman" w:hAnsi="Times New Roman"/>
          <w:kern w:val="2"/>
          <w:sz w:val="24"/>
          <w:lang w:val="en-GB"/>
        </w:rPr>
        <w:t>on the single current subframe. And the demodulation performances were aligned and determined based on such “per-subframe” channel estimation assumption.</w:t>
      </w:r>
    </w:p>
    <w:p w:rsidR="004F315B" w:rsidRDefault="004F315B" w:rsidP="004F315B">
      <w:pPr>
        <w:jc w:val="both"/>
        <w:rPr>
          <w:rFonts w:ascii="Times New Roman" w:hAnsi="Times New Roman"/>
          <w:kern w:val="2"/>
          <w:sz w:val="24"/>
          <w:lang w:val="en-GB"/>
        </w:rPr>
      </w:pPr>
    </w:p>
    <w:p w:rsidR="004F315B" w:rsidRDefault="004F315B" w:rsidP="004F31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</w:rPr>
      </w:pPr>
      <w:r>
        <w:rPr>
          <w:rFonts w:ascii="Times New Roman" w:hAnsi="Times New Roman"/>
          <w:kern w:val="2"/>
          <w:sz w:val="24"/>
        </w:rPr>
        <w:t>However, b</w:t>
      </w:r>
      <w:r>
        <w:rPr>
          <w:rFonts w:ascii="Times New Roman" w:hAnsi="Times New Roman"/>
          <w:kern w:val="2"/>
          <w:sz w:val="24"/>
        </w:rPr>
        <w:t xml:space="preserve">ased on </w:t>
      </w:r>
      <w:r>
        <w:rPr>
          <w:rFonts w:ascii="Times New Roman" w:hAnsi="Times New Roman"/>
          <w:kern w:val="2"/>
          <w:sz w:val="24"/>
        </w:rPr>
        <w:t xml:space="preserve">the “per-subframe” channel estimation assumption, different companies provided </w:t>
      </w:r>
      <w:r>
        <w:rPr>
          <w:rFonts w:ascii="Times New Roman" w:hAnsi="Times New Roman"/>
          <w:kern w:val="2"/>
          <w:sz w:val="24"/>
        </w:rPr>
        <w:t xml:space="preserve">simulation results </w:t>
      </w:r>
      <w:r>
        <w:rPr>
          <w:rFonts w:ascii="Times New Roman" w:hAnsi="Times New Roman"/>
          <w:kern w:val="2"/>
          <w:sz w:val="24"/>
        </w:rPr>
        <w:t>showing</w:t>
      </w:r>
      <w:r>
        <w:rPr>
          <w:rFonts w:ascii="Times New Roman" w:hAnsi="Times New Roman"/>
          <w:kern w:val="2"/>
          <w:sz w:val="24"/>
        </w:rPr>
        <w:t xml:space="preserve"> that the acquisition delay for the </w:t>
      </w:r>
      <w:r>
        <w:rPr>
          <w:rFonts w:ascii="Times New Roman" w:hAnsi="Times New Roman"/>
          <w:kern w:val="2"/>
          <w:sz w:val="24"/>
        </w:rPr>
        <w:t>“</w:t>
      </w:r>
      <w:r>
        <w:rPr>
          <w:rFonts w:ascii="Times New Roman" w:hAnsi="Times New Roman"/>
          <w:kern w:val="2"/>
          <w:sz w:val="24"/>
        </w:rPr>
        <w:t>baseline</w:t>
      </w:r>
      <w:r>
        <w:rPr>
          <w:rFonts w:ascii="Times New Roman" w:hAnsi="Times New Roman"/>
          <w:kern w:val="2"/>
          <w:sz w:val="24"/>
        </w:rPr>
        <w:t>”</w:t>
      </w:r>
      <w:r>
        <w:rPr>
          <w:rFonts w:ascii="Times New Roman" w:hAnsi="Times New Roman"/>
          <w:kern w:val="2"/>
          <w:sz w:val="24"/>
        </w:rPr>
        <w:t xml:space="preserve"> receiver to successfully acquire both MIB-NB and SIB1-NB may be very large and even greater than or equal to the SIB1-NB 40.96</w:t>
      </w:r>
      <w:r w:rsidRPr="00AE74F8">
        <w:rPr>
          <w:rFonts w:ascii="Times New Roman" w:hAnsi="Times New Roman"/>
          <w:i/>
          <w:kern w:val="2"/>
          <w:sz w:val="24"/>
        </w:rPr>
        <w:t>s</w:t>
      </w:r>
      <w:r>
        <w:rPr>
          <w:rFonts w:ascii="Times New Roman" w:hAnsi="Times New Roman"/>
          <w:kern w:val="2"/>
          <w:sz w:val="24"/>
        </w:rPr>
        <w:t xml:space="preserve"> modification boundary.</w:t>
      </w:r>
    </w:p>
    <w:p w:rsidR="004F315B" w:rsidRDefault="004F315B" w:rsidP="004F31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</w:rPr>
      </w:pPr>
    </w:p>
    <w:p w:rsidR="004F315B" w:rsidRDefault="004F315B" w:rsidP="004F31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</w:rPr>
      </w:pPr>
      <w:r>
        <w:rPr>
          <w:rFonts w:ascii="Times New Roman" w:hAnsi="Times New Roman"/>
          <w:kern w:val="2"/>
          <w:sz w:val="24"/>
        </w:rPr>
        <w:t xml:space="preserve">Therefore, in RAN4#82 </w:t>
      </w:r>
      <w:r>
        <w:rPr>
          <w:rFonts w:ascii="Times New Roman" w:hAnsi="Times New Roman"/>
          <w:kern w:val="2"/>
          <w:sz w:val="24"/>
        </w:rPr>
        <w:t>Meeting, RAN1 sent RAN4 an LS [1</w:t>
      </w:r>
      <w:r>
        <w:rPr>
          <w:rFonts w:ascii="Times New Roman" w:hAnsi="Times New Roman"/>
          <w:kern w:val="2"/>
          <w:sz w:val="24"/>
        </w:rPr>
        <w:t xml:space="preserve">] regarding possible enchantments that can be used to improve SI acquisition performance. </w:t>
      </w:r>
      <w:r>
        <w:rPr>
          <w:rFonts w:ascii="Times New Roman" w:hAnsi="Times New Roman"/>
          <w:kern w:val="2"/>
          <w:sz w:val="24"/>
        </w:rPr>
        <w:t>One possible enhancement</w:t>
      </w:r>
      <w:r>
        <w:rPr>
          <w:rFonts w:ascii="Times New Roman" w:hAnsi="Times New Roman"/>
          <w:kern w:val="2"/>
          <w:sz w:val="24"/>
        </w:rPr>
        <w:t xml:space="preserve"> </w:t>
      </w:r>
      <w:r>
        <w:rPr>
          <w:rFonts w:ascii="Times New Roman" w:hAnsi="Times New Roman"/>
          <w:kern w:val="2"/>
          <w:sz w:val="24"/>
        </w:rPr>
        <w:t>is that</w:t>
      </w:r>
      <w:r>
        <w:rPr>
          <w:rFonts w:ascii="Times New Roman" w:hAnsi="Times New Roman"/>
          <w:kern w:val="2"/>
          <w:sz w:val="24"/>
        </w:rPr>
        <w:t xml:space="preserve">: </w:t>
      </w:r>
    </w:p>
    <w:p w:rsidR="004F315B" w:rsidRPr="00511F9F" w:rsidRDefault="004F315B" w:rsidP="004F315B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/>
          <w:kern w:val="2"/>
          <w:sz w:val="24"/>
        </w:rPr>
      </w:pPr>
      <w:r w:rsidRPr="00511F9F">
        <w:rPr>
          <w:rFonts w:ascii="Times New Roman" w:hAnsi="Times New Roman"/>
          <w:kern w:val="2"/>
          <w:sz w:val="24"/>
        </w:rPr>
        <w:t>Cross-subframe channel estimation</w:t>
      </w:r>
    </w:p>
    <w:p w:rsidR="004F315B" w:rsidRPr="00511F9F" w:rsidRDefault="004F315B" w:rsidP="004F315B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/>
          <w:kern w:val="2"/>
          <w:sz w:val="24"/>
        </w:rPr>
      </w:pPr>
      <w:r w:rsidRPr="00511F9F">
        <w:rPr>
          <w:rFonts w:ascii="Times New Roman" w:hAnsi="Times New Roman"/>
          <w:kern w:val="2"/>
          <w:sz w:val="24"/>
        </w:rPr>
        <w:t xml:space="preserve">The coverage for MIB-NB and SIB1-NB may be improved (and acquisition latency reduced) by considering cross-subframe channel estimation. However, for MIB-NB and SIB1-NB acquisition, </w:t>
      </w:r>
      <w:r w:rsidRPr="00510DD2">
        <w:rPr>
          <w:rFonts w:ascii="Times New Roman" w:hAnsi="Times New Roman"/>
          <w:kern w:val="2"/>
          <w:sz w:val="24"/>
        </w:rPr>
        <w:t>only subframes #0, #4, and #9 not containing NSSS for in-band mode</w:t>
      </w:r>
      <w:r w:rsidRPr="00511F9F">
        <w:rPr>
          <w:rFonts w:ascii="Times New Roman" w:hAnsi="Times New Roman"/>
          <w:kern w:val="2"/>
          <w:sz w:val="24"/>
        </w:rPr>
        <w:t xml:space="preserve">, and only subframes #0, #1, #3, #4, and #9 not containing NSSS for guard-band and stand-alone modes can be assumed to have NRS presence. </w:t>
      </w:r>
    </w:p>
    <w:p w:rsidR="004F315B" w:rsidRDefault="004F315B" w:rsidP="004F315B">
      <w:pPr>
        <w:spacing w:after="60"/>
        <w:ind w:left="1440"/>
        <w:rPr>
          <w:rFonts w:ascii="Times New Roman" w:hAnsi="Times New Roman"/>
          <w:kern w:val="2"/>
          <w:sz w:val="24"/>
        </w:rPr>
      </w:pPr>
      <w:r w:rsidRPr="00511F9F">
        <w:rPr>
          <w:rFonts w:ascii="Times New Roman" w:hAnsi="Times New Roman"/>
          <w:kern w:val="2"/>
          <w:sz w:val="24"/>
        </w:rPr>
        <w:t>RAN1 understands this is different to the current RAN4 receiver assumptions.</w:t>
      </w:r>
    </w:p>
    <w:p w:rsidR="004C39A7" w:rsidRDefault="004F315B" w:rsidP="004F315B">
      <w:pPr>
        <w:jc w:val="both"/>
        <w:rPr>
          <w:rFonts w:ascii="Times New Roman" w:hAnsi="Times New Roman"/>
          <w:kern w:val="2"/>
          <w:sz w:val="24"/>
          <w:lang w:val="en-GB"/>
        </w:rPr>
      </w:pPr>
      <w:r>
        <w:rPr>
          <w:rFonts w:ascii="Times New Roman" w:hAnsi="Times New Roman"/>
          <w:kern w:val="2"/>
          <w:sz w:val="24"/>
          <w:lang w:val="en-GB"/>
        </w:rPr>
        <w:t xml:space="preserve"> </w:t>
      </w:r>
    </w:p>
    <w:p w:rsidR="003C253A" w:rsidRDefault="004F315B" w:rsidP="00D20A8D">
      <w:pPr>
        <w:jc w:val="both"/>
        <w:rPr>
          <w:rFonts w:ascii="Times New Roman" w:hAnsi="Times New Roman"/>
          <w:kern w:val="2"/>
          <w:sz w:val="24"/>
        </w:rPr>
      </w:pPr>
      <w:r>
        <w:rPr>
          <w:rFonts w:ascii="Times New Roman" w:hAnsi="Times New Roman"/>
          <w:kern w:val="2"/>
          <w:sz w:val="24"/>
          <w:lang w:val="en-GB"/>
        </w:rPr>
        <w:lastRenderedPageBreak/>
        <w:t>Given RAN1 and RAN4 have different receiver assum</w:t>
      </w:r>
      <w:r w:rsidR="003C253A">
        <w:rPr>
          <w:rFonts w:ascii="Times New Roman" w:hAnsi="Times New Roman"/>
          <w:kern w:val="2"/>
          <w:sz w:val="24"/>
          <w:lang w:val="en-GB"/>
        </w:rPr>
        <w:t>ptions, clearly, the performance</w:t>
      </w:r>
      <w:r>
        <w:rPr>
          <w:rFonts w:ascii="Times New Roman" w:hAnsi="Times New Roman"/>
          <w:kern w:val="2"/>
          <w:sz w:val="24"/>
          <w:lang w:val="en-GB"/>
        </w:rPr>
        <w:t xml:space="preserve"> can be rather diverged due to the great impact that channel estimation has</w:t>
      </w:r>
      <w:r w:rsidR="003C253A">
        <w:rPr>
          <w:rFonts w:ascii="Times New Roman" w:hAnsi="Times New Roman"/>
          <w:kern w:val="2"/>
          <w:sz w:val="24"/>
          <w:lang w:val="en-GB"/>
        </w:rPr>
        <w:t xml:space="preserve"> on the demodulation algorithms</w:t>
      </w:r>
      <w:r>
        <w:rPr>
          <w:rFonts w:ascii="Times New Roman" w:hAnsi="Times New Roman"/>
          <w:kern w:val="2"/>
          <w:sz w:val="24"/>
          <w:lang w:val="en-GB"/>
        </w:rPr>
        <w:t>.</w:t>
      </w:r>
      <w:r w:rsidR="003C253A">
        <w:rPr>
          <w:rFonts w:ascii="Times New Roman" w:hAnsi="Times New Roman"/>
          <w:kern w:val="2"/>
          <w:sz w:val="24"/>
          <w:lang w:val="en-GB"/>
        </w:rPr>
        <w:t xml:space="preserve"> Noticeable difference in BLER performance has shown in [2] and [3], which involve NPBCH and NPDSCH. Thus, it is quite straight forward to expect that “</w:t>
      </w:r>
      <w:r w:rsidR="003C253A" w:rsidRPr="00511F9F">
        <w:rPr>
          <w:rFonts w:ascii="Times New Roman" w:hAnsi="Times New Roman"/>
          <w:kern w:val="2"/>
          <w:sz w:val="24"/>
        </w:rPr>
        <w:t>cross-subframe channel estimation</w:t>
      </w:r>
      <w:r w:rsidR="003C253A">
        <w:rPr>
          <w:rFonts w:ascii="Times New Roman" w:hAnsi="Times New Roman"/>
          <w:kern w:val="2"/>
          <w:sz w:val="24"/>
        </w:rPr>
        <w:t xml:space="preserve">” will also have impact on NPDCCH demodulation performance, which in turn will have impact on other related aspects, such as radio link monitoring (RLM) procedure for RRM. </w:t>
      </w:r>
    </w:p>
    <w:p w:rsidR="003C253A" w:rsidRDefault="00D20A8D" w:rsidP="00D20A8D">
      <w:pPr>
        <w:jc w:val="both"/>
        <w:rPr>
          <w:rFonts w:ascii="Times New Roman" w:hAnsi="Times New Roman"/>
          <w:kern w:val="2"/>
          <w:sz w:val="24"/>
          <w:lang w:val="en-GB"/>
        </w:rPr>
      </w:pPr>
      <w:r w:rsidRPr="0037401E">
        <w:rPr>
          <w:rFonts w:ascii="Times New Roman" w:hAnsi="Times New Roman"/>
          <w:b/>
          <w:kern w:val="2"/>
          <w:sz w:val="24"/>
          <w:lang w:val="en-GB"/>
        </w:rPr>
        <w:t>Proposal</w:t>
      </w:r>
      <w:r>
        <w:rPr>
          <w:rFonts w:ascii="Times New Roman" w:hAnsi="Times New Roman"/>
          <w:kern w:val="2"/>
          <w:sz w:val="24"/>
          <w:lang w:val="en-GB"/>
        </w:rPr>
        <w:t xml:space="preserve">: </w:t>
      </w:r>
      <w:r w:rsidR="003C253A">
        <w:rPr>
          <w:rFonts w:ascii="Times New Roman" w:hAnsi="Times New Roman"/>
          <w:kern w:val="2"/>
          <w:sz w:val="24"/>
          <w:lang w:val="en-GB"/>
        </w:rPr>
        <w:t>To evaluate “cross-subframe channel estimation” impact on NPDCCH.</w:t>
      </w:r>
    </w:p>
    <w:p w:rsidR="003C253A" w:rsidRDefault="003C253A" w:rsidP="00D20A8D">
      <w:pPr>
        <w:jc w:val="both"/>
        <w:rPr>
          <w:rFonts w:ascii="Times New Roman" w:hAnsi="Times New Roman"/>
          <w:kern w:val="2"/>
          <w:sz w:val="24"/>
          <w:lang w:val="en-GB"/>
        </w:rPr>
      </w:pPr>
      <w:r>
        <w:rPr>
          <w:rFonts w:ascii="Times New Roman" w:hAnsi="Times New Roman"/>
          <w:kern w:val="2"/>
          <w:sz w:val="24"/>
          <w:lang w:val="en-GB"/>
        </w:rPr>
        <w:t>The simulation assumptions for evaluation can be</w:t>
      </w:r>
      <w:r w:rsidR="00FF1428">
        <w:rPr>
          <w:rFonts w:ascii="Times New Roman" w:hAnsi="Times New Roman"/>
          <w:kern w:val="2"/>
          <w:sz w:val="24"/>
          <w:lang w:val="en-GB"/>
        </w:rPr>
        <w:t xml:space="preserve"> as in Table 1 below</w:t>
      </w:r>
      <w:r>
        <w:rPr>
          <w:rFonts w:ascii="Times New Roman" w:hAnsi="Times New Roman"/>
          <w:kern w:val="2"/>
          <w:sz w:val="24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9"/>
        <w:gridCol w:w="1398"/>
        <w:gridCol w:w="1211"/>
        <w:gridCol w:w="1184"/>
        <w:gridCol w:w="1370"/>
        <w:gridCol w:w="846"/>
        <w:gridCol w:w="883"/>
        <w:gridCol w:w="845"/>
        <w:gridCol w:w="843"/>
      </w:tblGrid>
      <w:tr w:rsidR="00FF1428" w:rsidTr="00FF1428">
        <w:tc>
          <w:tcPr>
            <w:tcW w:w="1053" w:type="dxa"/>
          </w:tcPr>
          <w:p w:rsidR="00FF1428" w:rsidRPr="00FF1428" w:rsidRDefault="00FF1428" w:rsidP="00FF1428">
            <w:pPr>
              <w:jc w:val="center"/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</w:pPr>
            <w:r w:rsidRPr="00FF1428"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  <w:t>Test Number</w:t>
            </w:r>
          </w:p>
        </w:tc>
        <w:tc>
          <w:tcPr>
            <w:tcW w:w="1403" w:type="dxa"/>
          </w:tcPr>
          <w:p w:rsidR="00FF1428" w:rsidRPr="00FF1428" w:rsidRDefault="00FF1428" w:rsidP="00FF1428">
            <w:pPr>
              <w:jc w:val="center"/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</w:pPr>
            <w:r w:rsidRPr="00FF1428"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  <w:t>Deployment</w:t>
            </w:r>
          </w:p>
          <w:p w:rsidR="00FF1428" w:rsidRPr="00FF1428" w:rsidRDefault="00FF1428" w:rsidP="00FF1428">
            <w:pPr>
              <w:jc w:val="center"/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</w:pPr>
            <w:r w:rsidRPr="00FF1428"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  <w:t>mode</w:t>
            </w:r>
          </w:p>
        </w:tc>
        <w:tc>
          <w:tcPr>
            <w:tcW w:w="1216" w:type="dxa"/>
          </w:tcPr>
          <w:p w:rsidR="00FF1428" w:rsidRPr="00FF1428" w:rsidRDefault="00FF1428" w:rsidP="00FF1428">
            <w:pPr>
              <w:jc w:val="center"/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</w:pPr>
            <w:r w:rsidRPr="00FF1428"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  <w:t>Repetition number</w:t>
            </w:r>
          </w:p>
        </w:tc>
        <w:tc>
          <w:tcPr>
            <w:tcW w:w="1189" w:type="dxa"/>
          </w:tcPr>
          <w:p w:rsidR="00FF1428" w:rsidRPr="00FF1428" w:rsidRDefault="00FF1428" w:rsidP="00FF1428">
            <w:pPr>
              <w:jc w:val="center"/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</w:pPr>
            <w:r w:rsidRPr="00FF1428"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  <w:t>Reference channel</w:t>
            </w:r>
          </w:p>
        </w:tc>
        <w:tc>
          <w:tcPr>
            <w:tcW w:w="1376" w:type="dxa"/>
          </w:tcPr>
          <w:p w:rsidR="00FF1428" w:rsidRPr="00FF1428" w:rsidRDefault="00FF1428" w:rsidP="00FF1428">
            <w:pPr>
              <w:jc w:val="center"/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</w:pPr>
            <w:r w:rsidRPr="00FF1428"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  <w:t>Propagation Condition</w:t>
            </w:r>
          </w:p>
        </w:tc>
        <w:tc>
          <w:tcPr>
            <w:tcW w:w="848" w:type="dxa"/>
          </w:tcPr>
          <w:p w:rsidR="00FF1428" w:rsidRPr="00FF1428" w:rsidRDefault="00FF1428" w:rsidP="00FF1428">
            <w:pPr>
              <w:jc w:val="center"/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</w:pPr>
            <w:r w:rsidRPr="00FF1428"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  <w:t>Number of NRS ports</w:t>
            </w:r>
          </w:p>
        </w:tc>
        <w:tc>
          <w:tcPr>
            <w:tcW w:w="848" w:type="dxa"/>
          </w:tcPr>
          <w:p w:rsidR="00FF1428" w:rsidRPr="00FF1428" w:rsidRDefault="00FF1428" w:rsidP="00FF1428">
            <w:pPr>
              <w:jc w:val="center"/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</w:pPr>
            <w:r w:rsidRPr="00FF1428"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  <w:t>Channel estimation window length (</w:t>
            </w:r>
            <w:r w:rsidRPr="00FF1428">
              <w:rPr>
                <w:rFonts w:ascii="Times New Roman" w:hAnsi="Times New Roman"/>
                <w:i/>
                <w:kern w:val="2"/>
                <w:sz w:val="16"/>
                <w:szCs w:val="16"/>
                <w:lang w:val="en-GB"/>
              </w:rPr>
              <w:t>ms</w:t>
            </w:r>
            <w:r w:rsidRPr="00FF1428"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  <w:t>)</w:t>
            </w:r>
          </w:p>
        </w:tc>
        <w:tc>
          <w:tcPr>
            <w:tcW w:w="848" w:type="dxa"/>
          </w:tcPr>
          <w:p w:rsidR="00FF1428" w:rsidRPr="00FF1428" w:rsidRDefault="00FF1428" w:rsidP="00FF1428">
            <w:pPr>
              <w:jc w:val="center"/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</w:pPr>
            <w:r w:rsidRPr="00FF1428"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  <w:t>BLER</w:t>
            </w:r>
          </w:p>
          <w:p w:rsidR="00FF1428" w:rsidRPr="00FF1428" w:rsidRDefault="00FF1428" w:rsidP="00FF1428">
            <w:pPr>
              <w:jc w:val="center"/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</w:pPr>
            <w:r w:rsidRPr="00FF1428"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  <w:t>(%)</w:t>
            </w:r>
          </w:p>
        </w:tc>
        <w:tc>
          <w:tcPr>
            <w:tcW w:w="848" w:type="dxa"/>
          </w:tcPr>
          <w:p w:rsidR="00FF1428" w:rsidRPr="00FF1428" w:rsidRDefault="00FF1428" w:rsidP="00FF1428">
            <w:pPr>
              <w:jc w:val="center"/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</w:pPr>
            <w:r w:rsidRPr="00FF1428"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  <w:t>SNR</w:t>
            </w:r>
          </w:p>
          <w:p w:rsidR="00FF1428" w:rsidRPr="00FF1428" w:rsidRDefault="00FF1428" w:rsidP="00FF1428">
            <w:pPr>
              <w:jc w:val="center"/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</w:pPr>
            <w:r w:rsidRPr="00FF1428"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  <w:t>(dB)</w:t>
            </w:r>
          </w:p>
        </w:tc>
      </w:tr>
      <w:tr w:rsidR="00FF1428" w:rsidTr="00FF1428">
        <w:tc>
          <w:tcPr>
            <w:tcW w:w="1053" w:type="dxa"/>
          </w:tcPr>
          <w:p w:rsidR="00FF1428" w:rsidRPr="00FF1428" w:rsidRDefault="00FF1428" w:rsidP="00FF1428">
            <w:pPr>
              <w:jc w:val="center"/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</w:pPr>
            <w:r w:rsidRPr="00FF1428"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  <w:t>1</w:t>
            </w:r>
          </w:p>
        </w:tc>
        <w:tc>
          <w:tcPr>
            <w:tcW w:w="1403" w:type="dxa"/>
          </w:tcPr>
          <w:p w:rsidR="00FF1428" w:rsidRPr="00FF1428" w:rsidRDefault="00FF1428" w:rsidP="00FF1428">
            <w:pPr>
              <w:jc w:val="center"/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</w:pPr>
            <w:r w:rsidRPr="00FF1428"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  <w:t>In-band</w:t>
            </w:r>
          </w:p>
        </w:tc>
        <w:tc>
          <w:tcPr>
            <w:tcW w:w="1216" w:type="dxa"/>
          </w:tcPr>
          <w:p w:rsidR="00FF1428" w:rsidRPr="00FF1428" w:rsidRDefault="00FF1428" w:rsidP="00FF1428">
            <w:pPr>
              <w:jc w:val="center"/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</w:pPr>
            <w:r w:rsidRPr="00FF1428"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  <w:t>64</w:t>
            </w:r>
          </w:p>
        </w:tc>
        <w:tc>
          <w:tcPr>
            <w:tcW w:w="1189" w:type="dxa"/>
          </w:tcPr>
          <w:p w:rsidR="00FF1428" w:rsidRPr="00FF1428" w:rsidRDefault="00FF1428" w:rsidP="00FF1428">
            <w:pPr>
              <w:jc w:val="center"/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</w:pPr>
            <w:r w:rsidRPr="00FF1428"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  <w:t>R.NB.4 FDD</w:t>
            </w:r>
          </w:p>
        </w:tc>
        <w:tc>
          <w:tcPr>
            <w:tcW w:w="1376" w:type="dxa"/>
          </w:tcPr>
          <w:p w:rsidR="00FF1428" w:rsidRPr="00FF1428" w:rsidRDefault="00FF1428" w:rsidP="00FF1428">
            <w:pPr>
              <w:jc w:val="center"/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</w:pPr>
            <w:r w:rsidRPr="00FF1428"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  <w:t>EPA5</w:t>
            </w:r>
          </w:p>
        </w:tc>
        <w:tc>
          <w:tcPr>
            <w:tcW w:w="848" w:type="dxa"/>
          </w:tcPr>
          <w:p w:rsidR="00FF1428" w:rsidRPr="00FF1428" w:rsidRDefault="00FF1428" w:rsidP="00FF1428">
            <w:pPr>
              <w:jc w:val="center"/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</w:pPr>
            <w:r w:rsidRPr="00FF1428"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  <w:t>2</w:t>
            </w:r>
          </w:p>
        </w:tc>
        <w:tc>
          <w:tcPr>
            <w:tcW w:w="848" w:type="dxa"/>
          </w:tcPr>
          <w:p w:rsidR="00FF1428" w:rsidRPr="00FF1428" w:rsidRDefault="00FF1428" w:rsidP="00FF1428">
            <w:pPr>
              <w:jc w:val="center"/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</w:pPr>
            <w:r w:rsidRPr="00FF1428"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  <w:t>8</w:t>
            </w:r>
          </w:p>
        </w:tc>
        <w:tc>
          <w:tcPr>
            <w:tcW w:w="848" w:type="dxa"/>
          </w:tcPr>
          <w:p w:rsidR="00FF1428" w:rsidRPr="00FF1428" w:rsidRDefault="00FF1428" w:rsidP="00FF1428">
            <w:pPr>
              <w:jc w:val="center"/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</w:pPr>
            <w:r w:rsidRPr="00FF1428"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  <w:t>1</w:t>
            </w:r>
          </w:p>
        </w:tc>
        <w:tc>
          <w:tcPr>
            <w:tcW w:w="848" w:type="dxa"/>
          </w:tcPr>
          <w:p w:rsidR="00FF1428" w:rsidRPr="00FF1428" w:rsidRDefault="00FF1428" w:rsidP="00FF1428">
            <w:pPr>
              <w:jc w:val="center"/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</w:pPr>
            <w:r w:rsidRPr="00FF1428"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  <w:t>[ ]</w:t>
            </w:r>
          </w:p>
        </w:tc>
      </w:tr>
      <w:tr w:rsidR="00FF1428" w:rsidTr="00FF1428">
        <w:tc>
          <w:tcPr>
            <w:tcW w:w="1053" w:type="dxa"/>
          </w:tcPr>
          <w:p w:rsidR="00FF1428" w:rsidRPr="00FF1428" w:rsidRDefault="00FF1428" w:rsidP="00FF1428">
            <w:pPr>
              <w:jc w:val="center"/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</w:pPr>
            <w:r w:rsidRPr="00FF1428"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  <w:t>2</w:t>
            </w:r>
          </w:p>
        </w:tc>
        <w:tc>
          <w:tcPr>
            <w:tcW w:w="1403" w:type="dxa"/>
          </w:tcPr>
          <w:p w:rsidR="00FF1428" w:rsidRPr="00FF1428" w:rsidRDefault="00FF1428" w:rsidP="00FF1428">
            <w:pPr>
              <w:jc w:val="center"/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</w:pPr>
            <w:r w:rsidRPr="00FF1428"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  <w:t>In-band</w:t>
            </w:r>
          </w:p>
        </w:tc>
        <w:tc>
          <w:tcPr>
            <w:tcW w:w="1216" w:type="dxa"/>
          </w:tcPr>
          <w:p w:rsidR="00FF1428" w:rsidRPr="00FF1428" w:rsidRDefault="00FF1428" w:rsidP="00FF1428">
            <w:pPr>
              <w:jc w:val="center"/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</w:pPr>
            <w:r w:rsidRPr="00FF1428"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  <w:t>512</w:t>
            </w:r>
          </w:p>
        </w:tc>
        <w:tc>
          <w:tcPr>
            <w:tcW w:w="1189" w:type="dxa"/>
          </w:tcPr>
          <w:p w:rsidR="00FF1428" w:rsidRPr="00FF1428" w:rsidRDefault="00FF1428" w:rsidP="00FF1428">
            <w:pPr>
              <w:jc w:val="center"/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</w:pPr>
            <w:r w:rsidRPr="00FF1428"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  <w:t>R.NB.4 FDD</w:t>
            </w:r>
          </w:p>
        </w:tc>
        <w:tc>
          <w:tcPr>
            <w:tcW w:w="1376" w:type="dxa"/>
          </w:tcPr>
          <w:p w:rsidR="00FF1428" w:rsidRPr="00FF1428" w:rsidRDefault="00FF1428" w:rsidP="00FF1428">
            <w:pPr>
              <w:jc w:val="center"/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</w:pPr>
            <w:r w:rsidRPr="00FF1428"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  <w:t>ETU1</w:t>
            </w:r>
          </w:p>
        </w:tc>
        <w:tc>
          <w:tcPr>
            <w:tcW w:w="848" w:type="dxa"/>
          </w:tcPr>
          <w:p w:rsidR="00FF1428" w:rsidRPr="00FF1428" w:rsidRDefault="00FF1428" w:rsidP="00FF1428">
            <w:pPr>
              <w:jc w:val="center"/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</w:pPr>
            <w:r w:rsidRPr="00FF1428"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  <w:t>2</w:t>
            </w:r>
          </w:p>
        </w:tc>
        <w:tc>
          <w:tcPr>
            <w:tcW w:w="848" w:type="dxa"/>
          </w:tcPr>
          <w:p w:rsidR="00FF1428" w:rsidRPr="00FF1428" w:rsidRDefault="00FF1428" w:rsidP="00FF1428">
            <w:pPr>
              <w:jc w:val="center"/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</w:pPr>
            <w:r w:rsidRPr="00FF1428"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  <w:t>16</w:t>
            </w:r>
          </w:p>
        </w:tc>
        <w:tc>
          <w:tcPr>
            <w:tcW w:w="848" w:type="dxa"/>
          </w:tcPr>
          <w:p w:rsidR="00FF1428" w:rsidRPr="00FF1428" w:rsidRDefault="00FF1428" w:rsidP="00FF1428">
            <w:pPr>
              <w:jc w:val="center"/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</w:pPr>
            <w:r w:rsidRPr="00FF1428"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  <w:t>1</w:t>
            </w:r>
          </w:p>
        </w:tc>
        <w:tc>
          <w:tcPr>
            <w:tcW w:w="848" w:type="dxa"/>
          </w:tcPr>
          <w:p w:rsidR="00FF1428" w:rsidRPr="00FF1428" w:rsidRDefault="00FF1428" w:rsidP="00FF1428">
            <w:pPr>
              <w:jc w:val="center"/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</w:pPr>
            <w:r w:rsidRPr="00FF1428"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  <w:t>[ ]</w:t>
            </w:r>
          </w:p>
        </w:tc>
      </w:tr>
      <w:tr w:rsidR="00FF1428" w:rsidTr="00FF1428">
        <w:tc>
          <w:tcPr>
            <w:tcW w:w="1053" w:type="dxa"/>
          </w:tcPr>
          <w:p w:rsidR="00FF1428" w:rsidRPr="00FF1428" w:rsidRDefault="00FF1428" w:rsidP="00FF1428">
            <w:pPr>
              <w:jc w:val="center"/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</w:pPr>
            <w:r w:rsidRPr="00FF1428"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  <w:t>3</w:t>
            </w:r>
          </w:p>
        </w:tc>
        <w:tc>
          <w:tcPr>
            <w:tcW w:w="1403" w:type="dxa"/>
          </w:tcPr>
          <w:p w:rsidR="00FF1428" w:rsidRPr="00FF1428" w:rsidRDefault="00FF1428" w:rsidP="00FF1428">
            <w:pPr>
              <w:jc w:val="center"/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</w:pPr>
            <w:r w:rsidRPr="00FF1428"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  <w:t>Standalone</w:t>
            </w:r>
          </w:p>
        </w:tc>
        <w:tc>
          <w:tcPr>
            <w:tcW w:w="1216" w:type="dxa"/>
          </w:tcPr>
          <w:p w:rsidR="00FF1428" w:rsidRPr="00FF1428" w:rsidRDefault="00FF1428" w:rsidP="00FF1428">
            <w:pPr>
              <w:jc w:val="center"/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</w:pPr>
            <w:r w:rsidRPr="00FF1428"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  <w:t>128</w:t>
            </w:r>
          </w:p>
        </w:tc>
        <w:tc>
          <w:tcPr>
            <w:tcW w:w="1189" w:type="dxa"/>
          </w:tcPr>
          <w:p w:rsidR="00FF1428" w:rsidRPr="00FF1428" w:rsidRDefault="00FF1428" w:rsidP="00FF1428">
            <w:pPr>
              <w:jc w:val="center"/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</w:pPr>
            <w:r w:rsidRPr="00FF1428"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  <w:t>R.NB.3</w:t>
            </w:r>
            <w:r w:rsidRPr="00FF1428"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  <w:t xml:space="preserve"> FDD</w:t>
            </w:r>
          </w:p>
        </w:tc>
        <w:tc>
          <w:tcPr>
            <w:tcW w:w="1376" w:type="dxa"/>
          </w:tcPr>
          <w:p w:rsidR="00FF1428" w:rsidRPr="00FF1428" w:rsidRDefault="00FF1428" w:rsidP="00FF1428">
            <w:pPr>
              <w:jc w:val="center"/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</w:pPr>
            <w:r w:rsidRPr="00FF1428"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  <w:t>EPA5</w:t>
            </w:r>
          </w:p>
        </w:tc>
        <w:tc>
          <w:tcPr>
            <w:tcW w:w="848" w:type="dxa"/>
          </w:tcPr>
          <w:p w:rsidR="00FF1428" w:rsidRPr="00FF1428" w:rsidRDefault="00FF1428" w:rsidP="00FF1428">
            <w:pPr>
              <w:jc w:val="center"/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</w:pPr>
            <w:r w:rsidRPr="00FF1428"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  <w:t>1</w:t>
            </w:r>
          </w:p>
        </w:tc>
        <w:tc>
          <w:tcPr>
            <w:tcW w:w="848" w:type="dxa"/>
          </w:tcPr>
          <w:p w:rsidR="00FF1428" w:rsidRPr="00FF1428" w:rsidRDefault="00FF1428" w:rsidP="00FF1428">
            <w:pPr>
              <w:jc w:val="center"/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</w:pPr>
            <w:r w:rsidRPr="00FF1428"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  <w:t>8</w:t>
            </w:r>
          </w:p>
        </w:tc>
        <w:tc>
          <w:tcPr>
            <w:tcW w:w="848" w:type="dxa"/>
          </w:tcPr>
          <w:p w:rsidR="00FF1428" w:rsidRPr="00FF1428" w:rsidRDefault="00FF1428" w:rsidP="00FF1428">
            <w:pPr>
              <w:jc w:val="center"/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</w:pPr>
            <w:r w:rsidRPr="00FF1428"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  <w:t>1</w:t>
            </w:r>
          </w:p>
        </w:tc>
        <w:tc>
          <w:tcPr>
            <w:tcW w:w="848" w:type="dxa"/>
          </w:tcPr>
          <w:p w:rsidR="00FF1428" w:rsidRPr="00FF1428" w:rsidRDefault="00FF1428" w:rsidP="00FF1428">
            <w:pPr>
              <w:jc w:val="center"/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</w:pPr>
            <w:r w:rsidRPr="00FF1428"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  <w:t>[ ]</w:t>
            </w:r>
          </w:p>
        </w:tc>
      </w:tr>
      <w:tr w:rsidR="00FF1428" w:rsidTr="00FF1428">
        <w:tc>
          <w:tcPr>
            <w:tcW w:w="1053" w:type="dxa"/>
          </w:tcPr>
          <w:p w:rsidR="00FF1428" w:rsidRPr="00FF1428" w:rsidRDefault="00FF1428" w:rsidP="00FF1428">
            <w:pPr>
              <w:jc w:val="center"/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</w:pPr>
            <w:r w:rsidRPr="00FF1428"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  <w:t>4</w:t>
            </w:r>
          </w:p>
        </w:tc>
        <w:tc>
          <w:tcPr>
            <w:tcW w:w="1403" w:type="dxa"/>
          </w:tcPr>
          <w:p w:rsidR="00FF1428" w:rsidRPr="00FF1428" w:rsidRDefault="00FF1428" w:rsidP="00FF1428">
            <w:pPr>
              <w:jc w:val="center"/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</w:pPr>
            <w:r w:rsidRPr="00FF1428"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  <w:t>Standalone</w:t>
            </w:r>
          </w:p>
        </w:tc>
        <w:tc>
          <w:tcPr>
            <w:tcW w:w="1216" w:type="dxa"/>
          </w:tcPr>
          <w:p w:rsidR="00FF1428" w:rsidRPr="00FF1428" w:rsidRDefault="00FF1428" w:rsidP="00FF1428">
            <w:pPr>
              <w:jc w:val="center"/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</w:pPr>
            <w:r w:rsidRPr="00FF1428"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  <w:t>1024</w:t>
            </w:r>
          </w:p>
        </w:tc>
        <w:tc>
          <w:tcPr>
            <w:tcW w:w="1189" w:type="dxa"/>
          </w:tcPr>
          <w:p w:rsidR="00FF1428" w:rsidRPr="00FF1428" w:rsidRDefault="00FF1428" w:rsidP="00FF1428">
            <w:pPr>
              <w:jc w:val="center"/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</w:pPr>
            <w:r w:rsidRPr="00FF1428"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  <w:t>R.NB.3</w:t>
            </w:r>
            <w:r w:rsidRPr="00FF1428"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  <w:t xml:space="preserve"> FDD</w:t>
            </w:r>
          </w:p>
        </w:tc>
        <w:tc>
          <w:tcPr>
            <w:tcW w:w="1376" w:type="dxa"/>
          </w:tcPr>
          <w:p w:rsidR="00FF1428" w:rsidRPr="00FF1428" w:rsidRDefault="00FF1428" w:rsidP="00FF1428">
            <w:pPr>
              <w:jc w:val="center"/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</w:pPr>
            <w:r w:rsidRPr="00FF1428"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  <w:t>ETU1</w:t>
            </w:r>
          </w:p>
        </w:tc>
        <w:tc>
          <w:tcPr>
            <w:tcW w:w="848" w:type="dxa"/>
          </w:tcPr>
          <w:p w:rsidR="00FF1428" w:rsidRPr="00FF1428" w:rsidRDefault="00FF1428" w:rsidP="00FF1428">
            <w:pPr>
              <w:jc w:val="center"/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</w:pPr>
            <w:r w:rsidRPr="00FF1428"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  <w:t>1</w:t>
            </w:r>
          </w:p>
        </w:tc>
        <w:tc>
          <w:tcPr>
            <w:tcW w:w="848" w:type="dxa"/>
          </w:tcPr>
          <w:p w:rsidR="00FF1428" w:rsidRPr="00FF1428" w:rsidRDefault="00FF1428" w:rsidP="00FF1428">
            <w:pPr>
              <w:jc w:val="center"/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</w:pPr>
            <w:r w:rsidRPr="00FF1428"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  <w:t>16</w:t>
            </w:r>
          </w:p>
        </w:tc>
        <w:tc>
          <w:tcPr>
            <w:tcW w:w="848" w:type="dxa"/>
          </w:tcPr>
          <w:p w:rsidR="00FF1428" w:rsidRPr="00FF1428" w:rsidRDefault="00FF1428" w:rsidP="00FF1428">
            <w:pPr>
              <w:jc w:val="center"/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</w:pPr>
            <w:r w:rsidRPr="00FF1428"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  <w:t>1</w:t>
            </w:r>
          </w:p>
        </w:tc>
        <w:tc>
          <w:tcPr>
            <w:tcW w:w="848" w:type="dxa"/>
          </w:tcPr>
          <w:p w:rsidR="00FF1428" w:rsidRPr="00FF1428" w:rsidRDefault="00FF1428" w:rsidP="00FF1428">
            <w:pPr>
              <w:jc w:val="center"/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</w:pPr>
            <w:r w:rsidRPr="00FF1428">
              <w:rPr>
                <w:rFonts w:ascii="Times New Roman" w:hAnsi="Times New Roman"/>
                <w:kern w:val="2"/>
                <w:sz w:val="16"/>
                <w:szCs w:val="16"/>
                <w:lang w:val="en-GB"/>
              </w:rPr>
              <w:t>[ ]</w:t>
            </w:r>
          </w:p>
        </w:tc>
      </w:tr>
    </w:tbl>
    <w:p w:rsidR="00FF1428" w:rsidRDefault="00FF1428" w:rsidP="00FF1428">
      <w:pPr>
        <w:rPr>
          <w:rFonts w:ascii="Times New Roman" w:hAnsi="Times New Roman"/>
          <w:kern w:val="2"/>
          <w:sz w:val="20"/>
          <w:szCs w:val="20"/>
          <w:lang w:val="en-GB"/>
        </w:rPr>
      </w:pPr>
      <w:r>
        <w:rPr>
          <w:rFonts w:ascii="Times New Roman" w:hAnsi="Times New Roman"/>
          <w:kern w:val="2"/>
          <w:sz w:val="20"/>
          <w:szCs w:val="20"/>
          <w:lang w:val="en-GB"/>
        </w:rPr>
        <w:t>* specified in TS 36.101 (v14.2.1) Annex C.3.6</w:t>
      </w:r>
    </w:p>
    <w:p w:rsidR="003C253A" w:rsidRPr="00FF1428" w:rsidRDefault="00FF1428" w:rsidP="00FF1428">
      <w:pPr>
        <w:jc w:val="center"/>
        <w:rPr>
          <w:rFonts w:ascii="Times New Roman" w:hAnsi="Times New Roman"/>
          <w:kern w:val="2"/>
          <w:sz w:val="20"/>
          <w:szCs w:val="20"/>
          <w:lang w:val="en-GB"/>
        </w:rPr>
      </w:pPr>
      <w:r w:rsidRPr="00FF1428">
        <w:rPr>
          <w:rFonts w:ascii="Times New Roman" w:hAnsi="Times New Roman"/>
          <w:kern w:val="2"/>
          <w:sz w:val="20"/>
          <w:szCs w:val="20"/>
          <w:lang w:val="en-GB"/>
        </w:rPr>
        <w:t xml:space="preserve">Table 1 Simulation assumptions for </w:t>
      </w:r>
      <w:r w:rsidRPr="00FF1428">
        <w:rPr>
          <w:rFonts w:ascii="Times New Roman" w:hAnsi="Times New Roman"/>
          <w:kern w:val="2"/>
          <w:sz w:val="20"/>
          <w:szCs w:val="20"/>
          <w:lang w:val="en-GB"/>
        </w:rPr>
        <w:t>“cross-subframe channel estimation” impact on NPDCCH</w:t>
      </w:r>
    </w:p>
    <w:p w:rsidR="00237D10" w:rsidRPr="00CE0FDF" w:rsidRDefault="00237D10" w:rsidP="00237D10">
      <w:pPr>
        <w:widowControl w:val="0"/>
        <w:spacing w:after="0" w:line="240" w:lineRule="auto"/>
        <w:jc w:val="both"/>
        <w:rPr>
          <w:rFonts w:eastAsia="PMingLiU"/>
          <w:kern w:val="2"/>
          <w:sz w:val="24"/>
          <w:lang w:val="en-GB" w:eastAsia="zh-TW"/>
        </w:rPr>
      </w:pPr>
    </w:p>
    <w:p w:rsidR="00237D10" w:rsidRPr="008B1A04" w:rsidRDefault="00331158" w:rsidP="00237D10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/>
          <w:sz w:val="32"/>
          <w:szCs w:val="32"/>
          <w:lang w:val="en-GB" w:eastAsia="zh-TW"/>
        </w:rPr>
      </w:pPr>
      <w:r>
        <w:rPr>
          <w:rFonts w:ascii="Arial" w:eastAsia="PMingLiU" w:hAnsi="Arial" w:hint="eastAsia"/>
          <w:sz w:val="32"/>
          <w:szCs w:val="32"/>
          <w:lang w:val="en-GB" w:eastAsia="zh-TW"/>
        </w:rPr>
        <w:t>Conclusion</w:t>
      </w:r>
    </w:p>
    <w:p w:rsidR="00237D10" w:rsidRPr="00E753DB" w:rsidRDefault="00237D10" w:rsidP="00237D10">
      <w:pPr>
        <w:widowControl w:val="0"/>
        <w:spacing w:after="0" w:line="240" w:lineRule="auto"/>
        <w:jc w:val="both"/>
        <w:rPr>
          <w:rFonts w:ascii="Times New Roman" w:hAnsi="Times New Roman"/>
          <w:kern w:val="2"/>
          <w:sz w:val="24"/>
          <w:lang w:val="en-GB"/>
        </w:rPr>
      </w:pPr>
    </w:p>
    <w:p w:rsidR="003529FC" w:rsidRPr="003529FC" w:rsidRDefault="003529FC" w:rsidP="003529FC">
      <w:pPr>
        <w:jc w:val="both"/>
        <w:rPr>
          <w:rFonts w:ascii="Times New Roman" w:hAnsi="Times New Roman"/>
          <w:kern w:val="2"/>
          <w:sz w:val="24"/>
          <w:lang w:val="en-GB"/>
        </w:rPr>
      </w:pPr>
      <w:r w:rsidRPr="003529FC">
        <w:rPr>
          <w:rFonts w:ascii="Times New Roman" w:hAnsi="Times New Roman"/>
          <w:kern w:val="2"/>
          <w:sz w:val="24"/>
          <w:lang w:val="en-GB"/>
        </w:rPr>
        <w:t>In this contribution we provide our views of the “cross-subframe channel estimation” impact on NPDCCH for eNB-IoT UE.</w:t>
      </w:r>
    </w:p>
    <w:p w:rsidR="003529FC" w:rsidRDefault="003529FC" w:rsidP="003529FC">
      <w:pPr>
        <w:jc w:val="both"/>
        <w:rPr>
          <w:rFonts w:ascii="Times New Roman" w:hAnsi="Times New Roman"/>
          <w:kern w:val="2"/>
          <w:sz w:val="24"/>
          <w:lang w:val="en-GB"/>
        </w:rPr>
      </w:pPr>
      <w:r w:rsidRPr="0037401E">
        <w:rPr>
          <w:rFonts w:ascii="Times New Roman" w:hAnsi="Times New Roman"/>
          <w:b/>
          <w:kern w:val="2"/>
          <w:sz w:val="24"/>
          <w:lang w:val="en-GB"/>
        </w:rPr>
        <w:t>Proposal</w:t>
      </w:r>
      <w:r>
        <w:rPr>
          <w:rFonts w:ascii="Times New Roman" w:hAnsi="Times New Roman"/>
          <w:kern w:val="2"/>
          <w:sz w:val="24"/>
          <w:lang w:val="en-GB"/>
        </w:rPr>
        <w:t>: To evaluate “cross-subframe channel estimation” impact on NPDCCH.</w:t>
      </w:r>
    </w:p>
    <w:p w:rsidR="003529FC" w:rsidRPr="003529FC" w:rsidRDefault="003529FC" w:rsidP="003529FC">
      <w:pPr>
        <w:jc w:val="both"/>
        <w:rPr>
          <w:rFonts w:eastAsia="PMingLiU"/>
          <w:kern w:val="2"/>
          <w:sz w:val="24"/>
          <w:lang w:val="en-GB" w:eastAsia="en-US"/>
        </w:rPr>
      </w:pPr>
      <w:bookmarkStart w:id="7" w:name="_GoBack"/>
      <w:bookmarkEnd w:id="7"/>
    </w:p>
    <w:p w:rsidR="00237D10" w:rsidRPr="008B1A04" w:rsidRDefault="00237D10" w:rsidP="00237D10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/>
          <w:sz w:val="32"/>
          <w:szCs w:val="32"/>
          <w:lang w:val="en-GB" w:eastAsia="zh-TW"/>
        </w:rPr>
      </w:pPr>
      <w:r w:rsidRPr="008B1A04">
        <w:rPr>
          <w:rFonts w:ascii="Arial" w:eastAsia="PMingLiU" w:hAnsi="Arial" w:hint="eastAsia"/>
          <w:sz w:val="32"/>
          <w:szCs w:val="32"/>
          <w:lang w:val="en-GB" w:eastAsia="zh-TW"/>
        </w:rPr>
        <w:t>Reference</w:t>
      </w:r>
      <w:r w:rsidR="00CE0FDF">
        <w:rPr>
          <w:rFonts w:ascii="Arial" w:eastAsia="PMingLiU" w:hAnsi="Arial"/>
          <w:sz w:val="32"/>
          <w:szCs w:val="32"/>
          <w:lang w:val="en-GB" w:eastAsia="zh-TW"/>
        </w:rPr>
        <w:t>s</w:t>
      </w:r>
    </w:p>
    <w:p w:rsidR="00E849F1" w:rsidRDefault="00E849F1" w:rsidP="00E849F1">
      <w:pPr>
        <w:autoSpaceDE w:val="0"/>
        <w:autoSpaceDN w:val="0"/>
        <w:adjustRightInd w:val="0"/>
        <w:jc w:val="both"/>
        <w:rPr>
          <w:rFonts w:ascii="Times New Roman" w:eastAsia="PMingLiU" w:hAnsi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>[</w:t>
      </w:r>
      <w:r w:rsidR="004C39A7">
        <w:rPr>
          <w:rFonts w:ascii="Times New Roman" w:eastAsia="PMingLiU" w:hAnsi="Times New Roman"/>
          <w:kern w:val="2"/>
          <w:sz w:val="24"/>
          <w:szCs w:val="24"/>
          <w:lang w:eastAsia="zh-TW"/>
        </w:rPr>
        <w:t>1</w:t>
      </w:r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>] R1-</w:t>
      </w:r>
      <w:r w:rsidRPr="004567E2">
        <w:rPr>
          <w:rFonts w:ascii="Times New Roman" w:eastAsia="PMingLiU" w:hAnsi="Times New Roman"/>
          <w:kern w:val="2"/>
          <w:sz w:val="24"/>
          <w:szCs w:val="24"/>
          <w:lang w:eastAsia="zh-TW"/>
        </w:rPr>
        <w:t>1704068</w:t>
      </w:r>
      <w:r w:rsidRPr="00634867">
        <w:rPr>
          <w:rFonts w:ascii="Times New Roman" w:eastAsia="PMingLiU" w:hAnsi="Times New Roman"/>
          <w:kern w:val="2"/>
          <w:sz w:val="24"/>
          <w:szCs w:val="24"/>
          <w:lang w:eastAsia="zh-TW"/>
        </w:rPr>
        <w:t>, “</w:t>
      </w:r>
      <w:r w:rsidRPr="004567E2">
        <w:rPr>
          <w:rFonts w:ascii="Times New Roman" w:eastAsia="PMingLiU" w:hAnsi="Times New Roman"/>
          <w:kern w:val="2"/>
          <w:sz w:val="24"/>
          <w:szCs w:val="24"/>
          <w:lang w:eastAsia="zh-TW"/>
        </w:rPr>
        <w:t>LS reply on NB-IoT SI acquisition delay</w:t>
      </w:r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 xml:space="preserve">”, RAN1, February </w:t>
      </w:r>
      <w:r w:rsidRPr="00634867">
        <w:rPr>
          <w:rFonts w:ascii="Times New Roman" w:eastAsia="PMingLiU" w:hAnsi="Times New Roman"/>
          <w:kern w:val="2"/>
          <w:sz w:val="24"/>
          <w:szCs w:val="24"/>
          <w:lang w:eastAsia="zh-TW"/>
        </w:rPr>
        <w:t>201</w:t>
      </w:r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>7</w:t>
      </w:r>
      <w:r w:rsidRPr="00634867">
        <w:rPr>
          <w:rFonts w:ascii="Times New Roman" w:eastAsia="PMingLiU" w:hAnsi="Times New Roman"/>
          <w:kern w:val="2"/>
          <w:sz w:val="24"/>
          <w:szCs w:val="24"/>
          <w:lang w:eastAsia="zh-TW"/>
        </w:rPr>
        <w:t>.</w:t>
      </w:r>
    </w:p>
    <w:p w:rsidR="004C39A7" w:rsidRDefault="004C39A7" w:rsidP="004C39A7">
      <w:pPr>
        <w:autoSpaceDE w:val="0"/>
        <w:autoSpaceDN w:val="0"/>
        <w:adjustRightInd w:val="0"/>
        <w:jc w:val="both"/>
        <w:rPr>
          <w:rFonts w:ascii="Times New Roman" w:eastAsia="PMingLiU" w:hAnsi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>[</w:t>
      </w:r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>2] R4-1702953</w:t>
      </w:r>
      <w:r w:rsidRPr="00634867">
        <w:rPr>
          <w:rFonts w:ascii="Times New Roman" w:eastAsia="PMingLiU" w:hAnsi="Times New Roman"/>
          <w:kern w:val="2"/>
          <w:sz w:val="24"/>
          <w:szCs w:val="24"/>
          <w:lang w:eastAsia="zh-TW"/>
        </w:rPr>
        <w:t>, “</w:t>
      </w:r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>MIB</w:t>
      </w:r>
      <w:r w:rsidRPr="00691CED">
        <w:rPr>
          <w:rFonts w:ascii="Times New Roman" w:eastAsia="PMingLiU" w:hAnsi="Times New Roman"/>
          <w:kern w:val="2"/>
          <w:sz w:val="24"/>
          <w:szCs w:val="24"/>
          <w:lang w:eastAsia="zh-TW"/>
        </w:rPr>
        <w:t>-NB simulation results for eNB-IoT UE</w:t>
      </w:r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 xml:space="preserve">”, Intel, April </w:t>
      </w:r>
      <w:r w:rsidRPr="00634867">
        <w:rPr>
          <w:rFonts w:ascii="Times New Roman" w:eastAsia="PMingLiU" w:hAnsi="Times New Roman"/>
          <w:kern w:val="2"/>
          <w:sz w:val="24"/>
          <w:szCs w:val="24"/>
          <w:lang w:eastAsia="zh-TW"/>
        </w:rPr>
        <w:t>201</w:t>
      </w:r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>7</w:t>
      </w:r>
      <w:r w:rsidRPr="00634867">
        <w:rPr>
          <w:rFonts w:ascii="Times New Roman" w:eastAsia="PMingLiU" w:hAnsi="Times New Roman"/>
          <w:kern w:val="2"/>
          <w:sz w:val="24"/>
          <w:szCs w:val="24"/>
          <w:lang w:eastAsia="zh-TW"/>
        </w:rPr>
        <w:t>.</w:t>
      </w:r>
    </w:p>
    <w:p w:rsidR="004C39A7" w:rsidRDefault="004C39A7" w:rsidP="004C39A7">
      <w:pPr>
        <w:autoSpaceDE w:val="0"/>
        <w:autoSpaceDN w:val="0"/>
        <w:adjustRightInd w:val="0"/>
        <w:jc w:val="both"/>
        <w:rPr>
          <w:rFonts w:ascii="Times New Roman" w:eastAsia="PMingLiU" w:hAnsi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>[3</w:t>
      </w:r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>] R4-1702954</w:t>
      </w:r>
      <w:r w:rsidRPr="00634867">
        <w:rPr>
          <w:rFonts w:ascii="Times New Roman" w:eastAsia="PMingLiU" w:hAnsi="Times New Roman"/>
          <w:kern w:val="2"/>
          <w:sz w:val="24"/>
          <w:szCs w:val="24"/>
          <w:lang w:eastAsia="zh-TW"/>
        </w:rPr>
        <w:t>, “</w:t>
      </w:r>
      <w:r w:rsidRPr="00691CED">
        <w:rPr>
          <w:rFonts w:ascii="Times New Roman" w:eastAsia="PMingLiU" w:hAnsi="Times New Roman"/>
          <w:kern w:val="2"/>
          <w:sz w:val="24"/>
          <w:szCs w:val="24"/>
          <w:lang w:eastAsia="zh-TW"/>
        </w:rPr>
        <w:t>SIB1-NB simulation results for eNB-IoT UE</w:t>
      </w:r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 xml:space="preserve">”, Intel, April </w:t>
      </w:r>
      <w:r w:rsidRPr="00634867">
        <w:rPr>
          <w:rFonts w:ascii="Times New Roman" w:eastAsia="PMingLiU" w:hAnsi="Times New Roman"/>
          <w:kern w:val="2"/>
          <w:sz w:val="24"/>
          <w:szCs w:val="24"/>
          <w:lang w:eastAsia="zh-TW"/>
        </w:rPr>
        <w:t>201</w:t>
      </w:r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>7</w:t>
      </w:r>
      <w:r w:rsidRPr="00634867">
        <w:rPr>
          <w:rFonts w:ascii="Times New Roman" w:eastAsia="PMingLiU" w:hAnsi="Times New Roman"/>
          <w:kern w:val="2"/>
          <w:sz w:val="24"/>
          <w:szCs w:val="24"/>
          <w:lang w:eastAsia="zh-TW"/>
        </w:rPr>
        <w:t>.</w:t>
      </w:r>
    </w:p>
    <w:p w:rsidR="004C39A7" w:rsidRDefault="004C39A7" w:rsidP="00E849F1">
      <w:pPr>
        <w:autoSpaceDE w:val="0"/>
        <w:autoSpaceDN w:val="0"/>
        <w:adjustRightInd w:val="0"/>
        <w:jc w:val="both"/>
        <w:rPr>
          <w:rFonts w:ascii="Times New Roman" w:eastAsia="PMingLiU" w:hAnsi="Times New Roman"/>
          <w:kern w:val="2"/>
          <w:sz w:val="24"/>
          <w:szCs w:val="24"/>
          <w:lang w:eastAsia="zh-TW"/>
        </w:rPr>
      </w:pPr>
    </w:p>
    <w:p w:rsidR="004C39A7" w:rsidRDefault="004C39A7" w:rsidP="00E849F1">
      <w:pPr>
        <w:autoSpaceDE w:val="0"/>
        <w:autoSpaceDN w:val="0"/>
        <w:adjustRightInd w:val="0"/>
        <w:jc w:val="both"/>
        <w:rPr>
          <w:rFonts w:ascii="Times New Roman" w:eastAsia="PMingLiU" w:hAnsi="Times New Roman"/>
          <w:kern w:val="2"/>
          <w:sz w:val="24"/>
          <w:szCs w:val="24"/>
          <w:lang w:eastAsia="zh-TW"/>
        </w:rPr>
      </w:pPr>
    </w:p>
    <w:p w:rsidR="00E849F1" w:rsidRDefault="00E849F1" w:rsidP="00237D10">
      <w:pPr>
        <w:autoSpaceDE w:val="0"/>
        <w:autoSpaceDN w:val="0"/>
        <w:adjustRightInd w:val="0"/>
        <w:jc w:val="both"/>
        <w:rPr>
          <w:rFonts w:ascii="Times New Roman" w:eastAsia="PMingLiU" w:hAnsi="Times New Roman"/>
          <w:kern w:val="2"/>
          <w:sz w:val="24"/>
          <w:szCs w:val="24"/>
          <w:lang w:eastAsia="zh-TW"/>
        </w:rPr>
      </w:pPr>
    </w:p>
    <w:sectPr w:rsidR="00E849F1" w:rsidSect="00AC3DC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6234F7"/>
    <w:multiLevelType w:val="hybridMultilevel"/>
    <w:tmpl w:val="36F4C1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7C41D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F3284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B2EF0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5E9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52119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78E3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7029E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CB88A9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DFE1BA8"/>
    <w:multiLevelType w:val="hybridMultilevel"/>
    <w:tmpl w:val="631C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480CF8"/>
    <w:multiLevelType w:val="hybridMultilevel"/>
    <w:tmpl w:val="66880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5F393F"/>
    <w:multiLevelType w:val="hybridMultilevel"/>
    <w:tmpl w:val="EDBE3E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DD3A29"/>
    <w:multiLevelType w:val="hybridMultilevel"/>
    <w:tmpl w:val="F19810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88640A"/>
    <w:multiLevelType w:val="hybridMultilevel"/>
    <w:tmpl w:val="331C2C8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9733F2"/>
    <w:multiLevelType w:val="hybridMultilevel"/>
    <w:tmpl w:val="A6F2FD36"/>
    <w:lvl w:ilvl="0" w:tplc="B0949BA6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D1408BF"/>
    <w:multiLevelType w:val="hybridMultilevel"/>
    <w:tmpl w:val="86E4799C"/>
    <w:lvl w:ilvl="0" w:tplc="D2EE7A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2C411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F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36C0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A6B7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1E63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A0E5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2E78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9EBC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EAB23A6"/>
    <w:multiLevelType w:val="hybridMultilevel"/>
    <w:tmpl w:val="A014A5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091602"/>
    <w:multiLevelType w:val="hybridMultilevel"/>
    <w:tmpl w:val="ECB8F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E20AEC"/>
    <w:multiLevelType w:val="hybridMultilevel"/>
    <w:tmpl w:val="701EA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5E3C62"/>
    <w:multiLevelType w:val="hybridMultilevel"/>
    <w:tmpl w:val="2EA007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160EC6"/>
    <w:multiLevelType w:val="hybridMultilevel"/>
    <w:tmpl w:val="04C2F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45D47"/>
    <w:multiLevelType w:val="hybridMultilevel"/>
    <w:tmpl w:val="50AE74F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CC259E"/>
    <w:multiLevelType w:val="hybridMultilevel"/>
    <w:tmpl w:val="B66CE6B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10"/>
  </w:num>
  <w:num w:numId="5">
    <w:abstractNumId w:val="2"/>
  </w:num>
  <w:num w:numId="6">
    <w:abstractNumId w:val="1"/>
  </w:num>
  <w:num w:numId="7">
    <w:abstractNumId w:val="7"/>
  </w:num>
  <w:num w:numId="8">
    <w:abstractNumId w:val="12"/>
  </w:num>
  <w:num w:numId="9">
    <w:abstractNumId w:val="13"/>
  </w:num>
  <w:num w:numId="10">
    <w:abstractNumId w:val="9"/>
  </w:num>
  <w:num w:numId="11">
    <w:abstractNumId w:val="3"/>
  </w:num>
  <w:num w:numId="12">
    <w:abstractNumId w:val="4"/>
  </w:num>
  <w:num w:numId="13">
    <w:abstractNumId w:val="14"/>
  </w:num>
  <w:num w:numId="14">
    <w:abstractNumId w:val="5"/>
  </w:num>
  <w:num w:numId="15">
    <w:abstractNumId w:val="15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02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E6F"/>
    <w:rsid w:val="00085693"/>
    <w:rsid w:val="000A509F"/>
    <w:rsid w:val="000A63A6"/>
    <w:rsid w:val="0011556D"/>
    <w:rsid w:val="00147965"/>
    <w:rsid w:val="001F0F93"/>
    <w:rsid w:val="002006D0"/>
    <w:rsid w:val="00237D10"/>
    <w:rsid w:val="002C4918"/>
    <w:rsid w:val="002D48B0"/>
    <w:rsid w:val="002D7D9B"/>
    <w:rsid w:val="0031675F"/>
    <w:rsid w:val="00321D55"/>
    <w:rsid w:val="00331158"/>
    <w:rsid w:val="003529FC"/>
    <w:rsid w:val="00355F60"/>
    <w:rsid w:val="003C253A"/>
    <w:rsid w:val="004C39A7"/>
    <w:rsid w:val="004D6E46"/>
    <w:rsid w:val="004F315B"/>
    <w:rsid w:val="00510DD2"/>
    <w:rsid w:val="00593E6B"/>
    <w:rsid w:val="005F791D"/>
    <w:rsid w:val="00600A91"/>
    <w:rsid w:val="00646005"/>
    <w:rsid w:val="00664F36"/>
    <w:rsid w:val="00691CED"/>
    <w:rsid w:val="00697B93"/>
    <w:rsid w:val="00702624"/>
    <w:rsid w:val="00777302"/>
    <w:rsid w:val="00787AE6"/>
    <w:rsid w:val="007A22CB"/>
    <w:rsid w:val="0094069F"/>
    <w:rsid w:val="00952614"/>
    <w:rsid w:val="00AA6D06"/>
    <w:rsid w:val="00AE74F8"/>
    <w:rsid w:val="00AF2435"/>
    <w:rsid w:val="00B86E6F"/>
    <w:rsid w:val="00BC6890"/>
    <w:rsid w:val="00BC6A60"/>
    <w:rsid w:val="00C246A9"/>
    <w:rsid w:val="00CA0751"/>
    <w:rsid w:val="00CA223D"/>
    <w:rsid w:val="00CE0FDF"/>
    <w:rsid w:val="00CF5D54"/>
    <w:rsid w:val="00D0184B"/>
    <w:rsid w:val="00D20A8D"/>
    <w:rsid w:val="00D2305C"/>
    <w:rsid w:val="00E05E2F"/>
    <w:rsid w:val="00E849F1"/>
    <w:rsid w:val="00F9033F"/>
    <w:rsid w:val="00FF1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808D3E-A18A-487D-A025-B0546DF0B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7D10"/>
    <w:rPr>
      <w:rFonts w:ascii="Calibri" w:eastAsia="SimSu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237D1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237D10"/>
    <w:rPr>
      <w:rFonts w:ascii="Arial" w:eastAsia="MS Mincho" w:hAnsi="Arial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rsid w:val="002D7D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"/>
    <w:basedOn w:val="Normal"/>
    <w:next w:val="Normal"/>
    <w:link w:val="CaptionChar1"/>
    <w:unhideWhenUsed/>
    <w:qFormat/>
    <w:rsid w:val="002D48B0"/>
    <w:pPr>
      <w:spacing w:after="0" w:line="240" w:lineRule="auto"/>
    </w:pPr>
    <w:rPr>
      <w:rFonts w:ascii="Times New Roman" w:eastAsia="MS Mincho" w:hAnsi="Times New Roma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"/>
    <w:link w:val="Caption"/>
    <w:rsid w:val="002D48B0"/>
    <w:rPr>
      <w:rFonts w:ascii="Times New Roman" w:eastAsia="MS Mincho" w:hAnsi="Times New Roman" w:cs="Times New Roman"/>
      <w:b/>
      <w:bCs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nhideWhenUsed/>
    <w:rsid w:val="00AE74F8"/>
    <w:pPr>
      <w:tabs>
        <w:tab w:val="center" w:pos="4513"/>
        <w:tab w:val="right" w:pos="9026"/>
      </w:tabs>
      <w:spacing w:after="0" w:line="240" w:lineRule="auto"/>
    </w:pPr>
    <w:rPr>
      <w:rFonts w:ascii="Times New Roman" w:eastAsia="MS Mincho" w:hAnsi="Times New Roman"/>
      <w:sz w:val="20"/>
      <w:szCs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E74F8"/>
    <w:rPr>
      <w:rFonts w:ascii="Times New Roman" w:eastAsia="MS Mincho" w:hAnsi="Times New Roman" w:cs="Times New Roman"/>
      <w:sz w:val="20"/>
      <w:szCs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D6E46"/>
    <w:pPr>
      <w:overflowPunct w:val="0"/>
      <w:autoSpaceDE w:val="0"/>
      <w:autoSpaceDN w:val="0"/>
      <w:adjustRightInd w:val="0"/>
      <w:spacing w:after="180" w:line="240" w:lineRule="auto"/>
      <w:ind w:left="720"/>
      <w:textAlignment w:val="baseline"/>
    </w:pPr>
    <w:rPr>
      <w:rFonts w:ascii="Times New Roman" w:hAnsi="Times New Roman"/>
      <w:sz w:val="20"/>
      <w:szCs w:val="20"/>
      <w:lang w:val="x-none" w:eastAsia="en-US"/>
    </w:rPr>
  </w:style>
  <w:style w:type="character" w:customStyle="1" w:styleId="ListParagraphChar">
    <w:name w:val="List Paragraph Char"/>
    <w:link w:val="ListParagraph"/>
    <w:uiPriority w:val="34"/>
    <w:rsid w:val="004D6E46"/>
    <w:rPr>
      <w:rFonts w:ascii="Times New Roman" w:eastAsia="SimSun" w:hAnsi="Times New Roman" w:cs="Times New Roman"/>
      <w:sz w:val="20"/>
      <w:szCs w:val="20"/>
      <w:lang w:val="x-none" w:eastAsia="en-US"/>
    </w:rPr>
  </w:style>
  <w:style w:type="character" w:styleId="Emphasis">
    <w:name w:val="Emphasis"/>
    <w:basedOn w:val="DefaultParagraphFont"/>
    <w:uiPriority w:val="20"/>
    <w:qFormat/>
    <w:rsid w:val="003C253A"/>
    <w:rPr>
      <w:i/>
      <w:iCs/>
    </w:rPr>
  </w:style>
  <w:style w:type="character" w:customStyle="1" w:styleId="apple-converted-space">
    <w:name w:val="apple-converted-space"/>
    <w:basedOn w:val="DefaultParagraphFont"/>
    <w:rsid w:val="003C25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14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2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/>
  <dc:description/>
  <cp:lastModifiedBy>Tian, Shuang</cp:lastModifiedBy>
  <cp:revision>27</cp:revision>
  <dcterms:created xsi:type="dcterms:W3CDTF">2017-03-23T04:24:00Z</dcterms:created>
  <dcterms:modified xsi:type="dcterms:W3CDTF">2017-03-24T12:41:00Z</dcterms:modified>
</cp:coreProperties>
</file>